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17. edycja Akademii Liderów ALRK</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Ruszyła rekrutacja do 17. Edycji Akademii Liderów ALRK. Ten najdłużej działający program Fundacji im. Lesława Pagi, pomaga w rozwoju zdolnym i utalentowanym studentom i absolwentom, którzy nie tylko chcą rozwijać się na rynku finansowym, ale także rozumieją, że biznes opiera się na dobrych relacjach i zaangażowaniu. To program dla przyszłych liderów branży.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Nowa odsłona</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końcem 2021 roku Akademia Liderów Rynku Kapitałowego stała się Akademią Liderów ALRK. Oprócz zmiany nazwy i odświeżonego logotypu, sam program zostaje lepiej dostosowany to aktualnej sytuacji na rynku. Rynek kapitałowy, który współtworzony był przez patrona Fundacji im. Lesława A. Pagi odpowiedzialnej za program, jest jedynie niewielką częścią świata finansów w Polsce. Dlatego też nowa edycja będzie lepiej dostosowana do aktualnej sytuacji na rynku, a zmiana nazwy to dopiero początek.</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Powrót Szkoły Letniej</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Ostatnie dwa lata zmusiły Akademię do przeniesienia się online, jednak w tym roku Akademia Liderów ALRK wraca do korzeni, a tym samym do 2-tygodniowej Szkoły Letniej. Już 4 lipca Uczestnicy przeniosą się do podwarszawskiej lokalizacji, gdzie przejdą przez intensywny kurs oparty o wiedzę merytoryczną, a także rozwiną swoje kompetencje biznesowe. Nie zabraknie też spotkań z liderami biznesu, warsztatów, zajęć z przedstawicielami firm partnerskich, a także z Alumnami poprzednich edycji.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się uczyć, to od najlepszych</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Akademia co roku współpracuje z najlepszymi firmami na rynku, dzięki czemu praktycy biznesu wprowadzają Uczestników w zagadnienia z zakresu m. in.: private equity, wyceny inwestycji, M&amp;A, investment banking, kariery w finansach czy prawnych aspektów biznesu. Ponadto uczestnicy mogą pracować nad umiejętnościami miękkimi, ucząc się negocjacji czy wystąpień publicznych. Partnerem strategicznym 17. edycji </w:t>
      </w:r>
      <w:r w:rsidDel="00000000" w:rsidR="00000000" w:rsidRPr="00000000">
        <w:rPr>
          <w:rFonts w:ascii="Calibri" w:cs="Calibri" w:eastAsia="Calibri" w:hAnsi="Calibri"/>
          <w:color w:val="000000"/>
          <w:sz w:val="24"/>
          <w:szCs w:val="24"/>
          <w:rtl w:val="0"/>
        </w:rPr>
        <w:t xml:space="preserve">została firma doradztwa strategicznego Bain &amp; Company</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dołączyć do Programu?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roku do programu zgłaszają się setki studentów z całej Polski. Do Akademii dostaje się jednak jedynie 30 z nich. Stypendyści nie tylko biorą udział w intensywnych szkoleniach, ale także stają się częścią wyjątkowej społeczności liderów, alumnów programów Fundacji im. Lesława A. Pagi.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Każdy uczestnik Akademii zostaje także Alumnem Fundacji, a tym samym dołącza do społeczności zrzeszającej wyjątkowych młodych liderów, którzy chcą wspólnymi siłami kształtować przyszłość.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zgłoszenia Akademia Liderów ALRK czeka do 15 kwietnia: </w:t>
      </w:r>
      <w:hyperlink r:id="rId7">
        <w:r w:rsidDel="00000000" w:rsidR="00000000" w:rsidRPr="00000000">
          <w:rPr>
            <w:rFonts w:ascii="Calibri" w:cs="Calibri" w:eastAsia="Calibri" w:hAnsi="Calibri"/>
            <w:color w:val="0000ff"/>
            <w:sz w:val="24"/>
            <w:szCs w:val="24"/>
            <w:u w:val="single"/>
            <w:rtl w:val="0"/>
          </w:rPr>
          <w:t xml:space="preserve">bit.ly/formularzXVII</w:t>
        </w:r>
      </w:hyperlink>
      <w:r w:rsidDel="00000000" w:rsidR="00000000" w:rsidRPr="00000000">
        <w:rPr>
          <w:rFonts w:ascii="Calibri" w:cs="Calibri" w:eastAsia="Calibri" w:hAnsi="Calibri"/>
          <w:color w:val="ee6123"/>
          <w:sz w:val="24"/>
          <w:szCs w:val="24"/>
          <w:rtl w:val="0"/>
        </w:rPr>
        <w:t xml:space="preserve">. </w:t>
      </w:r>
      <w:r w:rsidDel="00000000" w:rsidR="00000000" w:rsidRPr="00000000">
        <w:rPr>
          <w:rFonts w:ascii="Calibri" w:cs="Calibri" w:eastAsia="Calibri" w:hAnsi="Calibri"/>
          <w:sz w:val="24"/>
          <w:szCs w:val="24"/>
          <w:rtl w:val="0"/>
        </w:rPr>
        <w:t xml:space="preserve">Więcej informacji: </w:t>
      </w:r>
      <w:hyperlink r:id="rId8">
        <w:r w:rsidDel="00000000" w:rsidR="00000000" w:rsidRPr="00000000">
          <w:rPr>
            <w:rFonts w:ascii="Calibri" w:cs="Calibri" w:eastAsia="Calibri" w:hAnsi="Calibri"/>
            <w:color w:val="0000ff"/>
            <w:sz w:val="24"/>
            <w:szCs w:val="24"/>
            <w:u w:val="single"/>
            <w:rtl w:val="0"/>
          </w:rPr>
          <w:t xml:space="preserve">https://paga.org.pl/co-robimy/programy/akademia-liderow-alrk-xvii-edycja/</w:t>
        </w:r>
      </w:hyperlink>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Partnerami programu są w tym roku:</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 Strategiczny – Bain &amp; Company poland</w:t>
      </w:r>
    </w:p>
    <w:p w:rsidR="00000000" w:rsidDel="00000000" w:rsidP="00000000" w:rsidRDefault="00000000" w:rsidRPr="00000000" w14:paraId="00000012">
      <w:pPr>
        <w:jc w:val="both"/>
        <w:rPr>
          <w:rFonts w:ascii="Calibri" w:cs="Calibri" w:eastAsia="Calibri" w:hAnsi="Calibri"/>
          <w:color w:val="ee6123"/>
          <w:sz w:val="24"/>
          <w:szCs w:val="24"/>
        </w:rPr>
      </w:pPr>
      <w:r w:rsidDel="00000000" w:rsidR="00000000" w:rsidRPr="00000000">
        <w:rPr>
          <w:rFonts w:ascii="Calibri" w:cs="Calibri" w:eastAsia="Calibri" w:hAnsi="Calibri"/>
          <w:sz w:val="24"/>
          <w:szCs w:val="24"/>
          <w:rtl w:val="0"/>
        </w:rPr>
        <w:t xml:space="preserve">Partnerzy: Asseco, Bastion Group, DC Advisory, Deloitte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Eques Investment TFI, Innova Capital, Investors TFI, MCI, PEKAO TFI, PFR Ventures, Rothschild &amp; Co., Tar Heel Capital oraz firma zeb.</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6F5669"/>
  </w:style>
  <w:style w:type="paragraph" w:styleId="Nagwek3">
    <w:name w:val="heading 3"/>
    <w:basedOn w:val="Normalny"/>
    <w:link w:val="Nagwek3Znak"/>
    <w:uiPriority w:val="9"/>
    <w:qFormat w:val="1"/>
    <w:rsid w:val="00A62829"/>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pl-PL"/>
    </w:rPr>
  </w:style>
  <w:style w:type="paragraph" w:styleId="Nagwek4">
    <w:name w:val="heading 4"/>
    <w:basedOn w:val="Normalny"/>
    <w:next w:val="Normalny"/>
    <w:link w:val="Nagwek4Znak"/>
    <w:uiPriority w:val="9"/>
    <w:semiHidden w:val="1"/>
    <w:unhideWhenUsed w:val="1"/>
    <w:qFormat w:val="1"/>
    <w:rsid w:val="001B61B6"/>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3Znak" w:customStyle="1">
    <w:name w:val="Nagłówek 3 Znak"/>
    <w:basedOn w:val="Domylnaczcionkaakapitu"/>
    <w:link w:val="Nagwek3"/>
    <w:uiPriority w:val="9"/>
    <w:rsid w:val="00A62829"/>
    <w:rPr>
      <w:rFonts w:ascii="Times New Roman" w:cs="Times New Roman" w:eastAsia="Times New Roman" w:hAnsi="Times New Roman"/>
      <w:b w:val="1"/>
      <w:bCs w:val="1"/>
      <w:sz w:val="27"/>
      <w:szCs w:val="27"/>
      <w:lang w:eastAsia="pl-PL"/>
    </w:rPr>
  </w:style>
  <w:style w:type="character" w:styleId="Pogrubienie">
    <w:name w:val="Strong"/>
    <w:basedOn w:val="Domylnaczcionkaakapitu"/>
    <w:uiPriority w:val="22"/>
    <w:qFormat w:val="1"/>
    <w:rsid w:val="00A62829"/>
    <w:rPr>
      <w:b w:val="1"/>
      <w:bCs w:val="1"/>
    </w:rPr>
  </w:style>
  <w:style w:type="paragraph" w:styleId="NormalnyWeb">
    <w:name w:val="Normal (Web)"/>
    <w:basedOn w:val="Normalny"/>
    <w:uiPriority w:val="99"/>
    <w:unhideWhenUsed w:val="1"/>
    <w:rsid w:val="00A62829"/>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Nagwek4Znak" w:customStyle="1">
    <w:name w:val="Nagłówek 4 Znak"/>
    <w:basedOn w:val="Domylnaczcionkaakapitu"/>
    <w:link w:val="Nagwek4"/>
    <w:uiPriority w:val="9"/>
    <w:semiHidden w:val="1"/>
    <w:rsid w:val="001B61B6"/>
    <w:rPr>
      <w:rFonts w:asciiTheme="majorHAnsi" w:cstheme="majorBidi" w:eastAsiaTheme="majorEastAsia" w:hAnsiTheme="majorHAnsi"/>
      <w:i w:val="1"/>
      <w:iCs w:val="1"/>
      <w:color w:val="2e74b5" w:themeColor="accent1" w:themeShade="0000BF"/>
    </w:rPr>
  </w:style>
  <w:style w:type="paragraph" w:styleId="excerpt" w:customStyle="1">
    <w:name w:val="excerpt"/>
    <w:basedOn w:val="Normalny"/>
    <w:rsid w:val="001B61B6"/>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unhideWhenUsed w:val="1"/>
    <w:rsid w:val="001B61B6"/>
    <w:rPr>
      <w:color w:val="0000ff"/>
      <w:u w:val="single"/>
    </w:rPr>
  </w:style>
  <w:style w:type="character" w:styleId="Odwoaniedokomentarza">
    <w:name w:val="annotation reference"/>
    <w:basedOn w:val="Domylnaczcionkaakapitu"/>
    <w:uiPriority w:val="99"/>
    <w:semiHidden w:val="1"/>
    <w:unhideWhenUsed w:val="1"/>
    <w:rsid w:val="006F5669"/>
    <w:rPr>
      <w:sz w:val="16"/>
      <w:szCs w:val="16"/>
    </w:rPr>
  </w:style>
  <w:style w:type="paragraph" w:styleId="Tekstkomentarza">
    <w:name w:val="annotation text"/>
    <w:basedOn w:val="Normalny"/>
    <w:link w:val="TekstkomentarzaZnak"/>
    <w:uiPriority w:val="99"/>
    <w:semiHidden w:val="1"/>
    <w:unhideWhenUsed w:val="1"/>
    <w:rsid w:val="006F5669"/>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6F5669"/>
    <w:rPr>
      <w:sz w:val="20"/>
      <w:szCs w:val="20"/>
    </w:rPr>
  </w:style>
  <w:style w:type="paragraph" w:styleId="Tekstdymka">
    <w:name w:val="Balloon Text"/>
    <w:basedOn w:val="Normalny"/>
    <w:link w:val="TekstdymkaZnak"/>
    <w:uiPriority w:val="99"/>
    <w:semiHidden w:val="1"/>
    <w:unhideWhenUsed w:val="1"/>
    <w:rsid w:val="006F5669"/>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F5669"/>
    <w:rPr>
      <w:rFonts w:ascii="Segoe UI" w:cs="Segoe UI" w:hAnsi="Segoe UI"/>
      <w:sz w:val="18"/>
      <w:szCs w:val="18"/>
    </w:rPr>
  </w:style>
  <w:style w:type="paragraph" w:styleId="Tematkomentarza">
    <w:name w:val="annotation subject"/>
    <w:basedOn w:val="Tekstkomentarza"/>
    <w:next w:val="Tekstkomentarza"/>
    <w:link w:val="TematkomentarzaZnak"/>
    <w:uiPriority w:val="99"/>
    <w:semiHidden w:val="1"/>
    <w:unhideWhenUsed w:val="1"/>
    <w:rsid w:val="006F5669"/>
    <w:rPr>
      <w:b w:val="1"/>
      <w:bCs w:val="1"/>
    </w:rPr>
  </w:style>
  <w:style w:type="character" w:styleId="TematkomentarzaZnak" w:customStyle="1">
    <w:name w:val="Temat komentarza Znak"/>
    <w:basedOn w:val="TekstkomentarzaZnak"/>
    <w:link w:val="Tematkomentarza"/>
    <w:uiPriority w:val="99"/>
    <w:semiHidden w:val="1"/>
    <w:rsid w:val="006F5669"/>
    <w:rPr>
      <w:b w:val="1"/>
      <w:bCs w:val="1"/>
      <w:sz w:val="20"/>
      <w:szCs w:val="20"/>
    </w:rPr>
  </w:style>
  <w:style w:type="paragraph" w:styleId="Default" w:customStyle="1">
    <w:name w:val="Default"/>
    <w:rsid w:val="0035632F"/>
    <w:pPr>
      <w:autoSpaceDE w:val="0"/>
      <w:autoSpaceDN w:val="0"/>
      <w:adjustRightInd w:val="0"/>
      <w:spacing w:after="0" w:line="240" w:lineRule="auto"/>
    </w:pPr>
    <w:rPr>
      <w:rFonts w:ascii="Calibri" w:cs="Calibri" w:hAnsi="Calibri"/>
      <w:color w:val="000000"/>
      <w:sz w:val="24"/>
      <w:szCs w:val="24"/>
    </w:rPr>
  </w:style>
  <w:style w:type="character" w:styleId="UyteHipercze">
    <w:name w:val="FollowedHyperlink"/>
    <w:basedOn w:val="Domylnaczcionkaakapitu"/>
    <w:uiPriority w:val="99"/>
    <w:semiHidden w:val="1"/>
    <w:unhideWhenUsed w:val="1"/>
    <w:rsid w:val="00807144"/>
    <w:rPr>
      <w:color w:val="954f72" w:themeColor="followedHyperlink"/>
      <w:u w:val="single"/>
    </w:rPr>
  </w:style>
  <w:style w:type="character" w:styleId="bitlink--hash" w:customStyle="1">
    <w:name w:val="bitlink--hash"/>
    <w:basedOn w:val="Domylnaczcionkaakapitu"/>
    <w:rsid w:val="00807144"/>
  </w:style>
  <w:style w:type="paragraph" w:styleId="Poprawka">
    <w:name w:val="Revision"/>
    <w:hidden w:val="1"/>
    <w:uiPriority w:val="99"/>
    <w:semiHidden w:val="1"/>
    <w:rsid w:val="00A54A71"/>
    <w:pPr>
      <w:spacing w:after="0" w:line="240" w:lineRule="auto"/>
    </w:pPr>
  </w:style>
  <w:style w:type="character" w:styleId="Nierozpoznanawzmianka">
    <w:name w:val="Unresolved Mention"/>
    <w:basedOn w:val="Domylnaczcionkaakapitu"/>
    <w:uiPriority w:val="99"/>
    <w:semiHidden w:val="1"/>
    <w:unhideWhenUsed w:val="1"/>
    <w:rsid w:val="003207F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formularzXVII" TargetMode="External"/><Relationship Id="rId8" Type="http://schemas.openxmlformats.org/officeDocument/2006/relationships/hyperlink" Target="https://paga.org.pl/co-robimy/programy/akademia-liderow-alrk-xvii-edy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CshiLFAX05XTmkBFSLasNaCwQ==">AMUW2mVICw0m1A3Sc0RgPhMeLl348WleHKiHkX9M5wvFUtd7wK4v+WD+P6MEmIpmW7qtgNZkHKeZXHYXk02MhpCzQmQgUe3xjUzRyyAzNm4GPKwRwTAJmQk=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2022-03-22T12:20:00Z</dcterms:created>
  <dc:creator>Aleksandra Milewska</dc:creator>
</cp:coreProperties>
</file>