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3"/>
        <w:gridCol w:w="2936"/>
        <w:gridCol w:w="3429"/>
      </w:tblGrid>
      <w:tr w:rsidR="00FB3AB2" w:rsidTr="00FB3AB2">
        <w:tc>
          <w:tcPr>
            <w:tcW w:w="3070" w:type="dxa"/>
          </w:tcPr>
          <w:p w:rsidR="00FB3AB2" w:rsidRDefault="001E6FB9" w:rsidP="00FB3AB2">
            <w:pPr>
              <w:spacing w:line="360" w:lineRule="auto"/>
              <w:jc w:val="center"/>
            </w:pPr>
            <w:bookmarkStart w:id="0" w:name="_GoBack"/>
            <w:bookmarkEnd w:id="0"/>
            <w:r>
              <w:rPr>
                <w:noProof/>
              </w:rPr>
              <w:drawing>
                <wp:inline distT="0" distB="0" distL="0" distR="0">
                  <wp:extent cx="1452452" cy="1272845"/>
                  <wp:effectExtent l="0" t="0" r="0" b="0"/>
                  <wp:docPr id="4" name="Obraz 2" descr="C:\Users\michał\Downloads\logotyp_wesja-pionowa_granat_PL_5_preview_rev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hał\Downloads\logotyp_wesja-pionowa_granat_PL_5_preview_rev_1.png"/>
                          <pic:cNvPicPr>
                            <a:picLocks noChangeAspect="1" noChangeArrowheads="1"/>
                          </pic:cNvPicPr>
                        </pic:nvPicPr>
                        <pic:blipFill>
                          <a:blip r:embed="rId7" cstate="print"/>
                          <a:srcRect/>
                          <a:stretch>
                            <a:fillRect/>
                          </a:stretch>
                        </pic:blipFill>
                        <pic:spPr bwMode="auto">
                          <a:xfrm>
                            <a:off x="0" y="0"/>
                            <a:ext cx="1452044" cy="1272488"/>
                          </a:xfrm>
                          <a:prstGeom prst="rect">
                            <a:avLst/>
                          </a:prstGeom>
                          <a:noFill/>
                          <a:ln w="9525">
                            <a:noFill/>
                            <a:miter lim="800000"/>
                            <a:headEnd/>
                            <a:tailEnd/>
                          </a:ln>
                        </pic:spPr>
                      </pic:pic>
                    </a:graphicData>
                  </a:graphic>
                </wp:inline>
              </w:drawing>
            </w:r>
          </w:p>
        </w:tc>
        <w:tc>
          <w:tcPr>
            <w:tcW w:w="3071" w:type="dxa"/>
          </w:tcPr>
          <w:p w:rsidR="00FB3AB2" w:rsidRDefault="001E6FB9" w:rsidP="00FB3AB2">
            <w:pPr>
              <w:spacing w:line="360" w:lineRule="auto"/>
              <w:jc w:val="center"/>
            </w:pPr>
            <w:r>
              <w:rPr>
                <w:noProof/>
              </w:rPr>
              <w:drawing>
                <wp:inline distT="0" distB="0" distL="0" distR="0">
                  <wp:extent cx="1481455" cy="1238885"/>
                  <wp:effectExtent l="0" t="0" r="0" b="0"/>
                  <wp:docPr id="2"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1"/>
                          <pic:cNvPicPr>
                            <a:picLocks noChangeAspect="1" noChangeArrowheads="1"/>
                          </pic:cNvPicPr>
                        </pic:nvPicPr>
                        <pic:blipFill>
                          <a:blip r:embed="rId8" cstate="print"/>
                          <a:stretch>
                            <a:fillRect/>
                          </a:stretch>
                        </pic:blipFill>
                        <pic:spPr bwMode="auto">
                          <a:xfrm>
                            <a:off x="0" y="0"/>
                            <a:ext cx="1481455" cy="1238885"/>
                          </a:xfrm>
                          <a:prstGeom prst="rect">
                            <a:avLst/>
                          </a:prstGeom>
                        </pic:spPr>
                      </pic:pic>
                    </a:graphicData>
                  </a:graphic>
                </wp:inline>
              </w:drawing>
            </w:r>
          </w:p>
        </w:tc>
        <w:tc>
          <w:tcPr>
            <w:tcW w:w="3071" w:type="dxa"/>
          </w:tcPr>
          <w:p w:rsidR="00FB3AB2" w:rsidRDefault="001E6FB9" w:rsidP="00FB3AB2">
            <w:pPr>
              <w:spacing w:line="360" w:lineRule="auto"/>
              <w:jc w:val="center"/>
            </w:pPr>
            <w:r>
              <w:rPr>
                <w:noProof/>
              </w:rPr>
              <w:drawing>
                <wp:inline distT="0" distB="0" distL="0" distR="0">
                  <wp:extent cx="2040791" cy="1360627"/>
                  <wp:effectExtent l="0" t="0" r="0" b="0"/>
                  <wp:docPr id="3" name="Obraz 1" descr="C:\Users\michał\Desktop\210225_kew_wersje-znaku_rgb_bez_imienia_KEW_znak_uzupelniajaca_k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ł\Desktop\210225_kew_wersje-znaku_rgb_bez_imienia_KEW_znak_uzupelniajaca_kolor.png"/>
                          <pic:cNvPicPr>
                            <a:picLocks noChangeAspect="1" noChangeArrowheads="1"/>
                          </pic:cNvPicPr>
                        </pic:nvPicPr>
                        <pic:blipFill>
                          <a:blip r:embed="rId9" cstate="print"/>
                          <a:srcRect/>
                          <a:stretch>
                            <a:fillRect/>
                          </a:stretch>
                        </pic:blipFill>
                        <pic:spPr bwMode="auto">
                          <a:xfrm>
                            <a:off x="0" y="0"/>
                            <a:ext cx="2040846" cy="1360663"/>
                          </a:xfrm>
                          <a:prstGeom prst="rect">
                            <a:avLst/>
                          </a:prstGeom>
                          <a:noFill/>
                          <a:ln w="9525">
                            <a:noFill/>
                            <a:miter lim="800000"/>
                            <a:headEnd/>
                            <a:tailEnd/>
                          </a:ln>
                        </pic:spPr>
                      </pic:pic>
                    </a:graphicData>
                  </a:graphic>
                </wp:inline>
              </w:drawing>
            </w:r>
          </w:p>
        </w:tc>
      </w:tr>
    </w:tbl>
    <w:p w:rsidR="00FB3AB2" w:rsidRPr="00914DA2" w:rsidRDefault="00FB3AB2" w:rsidP="00BC1655">
      <w:pPr>
        <w:jc w:val="both"/>
        <w:rPr>
          <w:rFonts w:ascii="Times New Roman" w:hAnsi="Times New Roman" w:cs="Times New Roman"/>
          <w:b/>
          <w:sz w:val="24"/>
          <w:szCs w:val="24"/>
        </w:rPr>
      </w:pPr>
      <w:r w:rsidRPr="00914DA2">
        <w:rPr>
          <w:rFonts w:ascii="Times New Roman" w:hAnsi="Times New Roman" w:cs="Times New Roman"/>
          <w:sz w:val="24"/>
          <w:szCs w:val="24"/>
        </w:rPr>
        <w:t xml:space="preserve">Po przerwie wynikłej z ograniczeń pandemicznych, Wydział Historii Uniwersytetu im. Adama Mickiewicza w Poznaniu wraz z partnerami zaprasza do kolejnej,  </w:t>
      </w:r>
      <w:r w:rsidRPr="00914DA2">
        <w:rPr>
          <w:rFonts w:ascii="Times New Roman" w:hAnsi="Times New Roman" w:cs="Times New Roman"/>
          <w:b/>
          <w:sz w:val="24"/>
          <w:szCs w:val="24"/>
        </w:rPr>
        <w:t>X edycji Konkursu Wiedzy o Europie Wschodniej, Syberii, Kaukazie i Azji Środkowej „Zostań Wschodoznawcą” w roku szkolnym 2021/2022</w:t>
      </w:r>
      <w:r w:rsidR="00914DA2">
        <w:rPr>
          <w:rFonts w:ascii="Times New Roman" w:hAnsi="Times New Roman" w:cs="Times New Roman"/>
          <w:b/>
          <w:sz w:val="24"/>
          <w:szCs w:val="24"/>
        </w:rPr>
        <w:t>.</w:t>
      </w:r>
    </w:p>
    <w:p w:rsidR="00FB3AB2" w:rsidRPr="00914DA2" w:rsidRDefault="00FB3AB2" w:rsidP="00BC1655">
      <w:pPr>
        <w:rPr>
          <w:rFonts w:ascii="Times New Roman" w:hAnsi="Times New Roman" w:cs="Times New Roman"/>
          <w:sz w:val="24"/>
          <w:szCs w:val="24"/>
        </w:rPr>
      </w:pPr>
      <w:r w:rsidRPr="00914DA2">
        <w:rPr>
          <w:rFonts w:ascii="Times New Roman" w:hAnsi="Times New Roman" w:cs="Times New Roman"/>
          <w:sz w:val="24"/>
          <w:szCs w:val="24"/>
        </w:rPr>
        <w:t>Temat tegorocznej edycji to:</w:t>
      </w:r>
    </w:p>
    <w:p w:rsidR="00914DA2" w:rsidRDefault="00E90D2E" w:rsidP="00BC1655">
      <w:pPr>
        <w:jc w:val="center"/>
        <w:rPr>
          <w:rFonts w:ascii="Times New Roman" w:hAnsi="Times New Roman" w:cs="Times New Roman"/>
          <w:b/>
          <w:i/>
          <w:sz w:val="32"/>
          <w:szCs w:val="24"/>
        </w:rPr>
      </w:pPr>
      <w:r w:rsidRPr="00914DA2">
        <w:rPr>
          <w:rFonts w:ascii="Times New Roman" w:hAnsi="Times New Roman" w:cs="Times New Roman"/>
          <w:b/>
          <w:i/>
          <w:sz w:val="32"/>
          <w:szCs w:val="24"/>
        </w:rPr>
        <w:t>1991</w:t>
      </w:r>
      <w:r w:rsidR="00596B68" w:rsidRPr="00914DA2">
        <w:rPr>
          <w:rFonts w:ascii="Times New Roman" w:hAnsi="Times New Roman" w:cs="Times New Roman"/>
          <w:b/>
          <w:i/>
          <w:sz w:val="32"/>
          <w:szCs w:val="24"/>
        </w:rPr>
        <w:t xml:space="preserve"> –</w:t>
      </w:r>
      <w:r w:rsidRPr="00914DA2">
        <w:rPr>
          <w:rFonts w:ascii="Times New Roman" w:hAnsi="Times New Roman" w:cs="Times New Roman"/>
          <w:b/>
          <w:i/>
          <w:sz w:val="32"/>
          <w:szCs w:val="24"/>
        </w:rPr>
        <w:t xml:space="preserve"> Rozpad ZSRR: koniec imperium</w:t>
      </w:r>
    </w:p>
    <w:p w:rsidR="00E90D2E" w:rsidRPr="00914DA2" w:rsidRDefault="00E90D2E" w:rsidP="00BC1655">
      <w:pPr>
        <w:jc w:val="center"/>
        <w:rPr>
          <w:rFonts w:ascii="Times New Roman" w:hAnsi="Times New Roman" w:cs="Times New Roman"/>
          <w:b/>
          <w:i/>
          <w:sz w:val="32"/>
          <w:szCs w:val="24"/>
        </w:rPr>
      </w:pPr>
      <w:r w:rsidRPr="00914DA2">
        <w:rPr>
          <w:rFonts w:ascii="Times New Roman" w:hAnsi="Times New Roman" w:cs="Times New Roman"/>
          <w:b/>
          <w:i/>
          <w:sz w:val="32"/>
          <w:szCs w:val="24"/>
        </w:rPr>
        <w:t xml:space="preserve"> i narodziny nowej Europy Wschodniej</w:t>
      </w:r>
    </w:p>
    <w:p w:rsidR="00596B68" w:rsidRPr="00914DA2" w:rsidRDefault="00620D35" w:rsidP="00BC1655">
      <w:pPr>
        <w:jc w:val="both"/>
        <w:rPr>
          <w:rFonts w:ascii="Times New Roman" w:hAnsi="Times New Roman" w:cs="Times New Roman"/>
          <w:sz w:val="24"/>
          <w:szCs w:val="24"/>
        </w:rPr>
      </w:pPr>
      <w:r w:rsidRPr="00914DA2">
        <w:rPr>
          <w:rFonts w:ascii="Times New Roman" w:hAnsi="Times New Roman" w:cs="Times New Roman"/>
          <w:sz w:val="24"/>
          <w:szCs w:val="24"/>
        </w:rPr>
        <w:t>W grudniu 2021 r. minęło trzydzieści lat od rozpadu Związku Socjalistycznych Republik Radzieckich. Ten przełomowy moment w dziejach oznaczał koniec komunizmu jako jednej z idei budujących porządek światowy oraz przyniósł kres wielowiekowej dominacji Rosji nad Europą Wschodnią. Jednocześnie z dużą mocą dały o sobie znać emocje społeczne związane z ruchami narodowymi oraz wizjami rozwoju niepodległych państw. Trzydzieści lat, które mija od tych wydarzeń, skłania do refleksji nad ich przebiegiem, przyczynami rozpadu ZSRR oraz dalszymi losami państw, które powstały na jego gruzach.</w:t>
      </w:r>
    </w:p>
    <w:p w:rsidR="00C92AB8" w:rsidRPr="00914DA2" w:rsidRDefault="00596B68" w:rsidP="00BC1655">
      <w:pPr>
        <w:jc w:val="both"/>
        <w:rPr>
          <w:rFonts w:ascii="Times New Roman" w:hAnsi="Times New Roman" w:cs="Times New Roman"/>
          <w:b/>
          <w:sz w:val="24"/>
          <w:szCs w:val="24"/>
        </w:rPr>
      </w:pPr>
      <w:r w:rsidRPr="00914DA2">
        <w:rPr>
          <w:rFonts w:ascii="Times New Roman" w:hAnsi="Times New Roman" w:cs="Times New Roman"/>
          <w:b/>
          <w:sz w:val="24"/>
          <w:szCs w:val="24"/>
        </w:rPr>
        <w:t>Zagadnienia</w:t>
      </w:r>
      <w:r w:rsidR="00620D35" w:rsidRPr="00914DA2">
        <w:rPr>
          <w:rFonts w:ascii="Times New Roman" w:hAnsi="Times New Roman" w:cs="Times New Roman"/>
          <w:b/>
          <w:sz w:val="24"/>
          <w:szCs w:val="24"/>
        </w:rPr>
        <w:t xml:space="preserve"> konkursowe:</w:t>
      </w:r>
    </w:p>
    <w:p w:rsidR="00620D35" w:rsidRPr="00914DA2" w:rsidRDefault="00620D35" w:rsidP="00BC1655">
      <w:pPr>
        <w:pStyle w:val="Akapitzlist"/>
        <w:numPr>
          <w:ilvl w:val="0"/>
          <w:numId w:val="2"/>
        </w:numPr>
        <w:jc w:val="both"/>
        <w:rPr>
          <w:rFonts w:ascii="Times New Roman" w:hAnsi="Times New Roman" w:cs="Times New Roman"/>
          <w:sz w:val="24"/>
          <w:szCs w:val="24"/>
        </w:rPr>
      </w:pPr>
      <w:r w:rsidRPr="00914DA2">
        <w:rPr>
          <w:rFonts w:ascii="Times New Roman" w:hAnsi="Times New Roman" w:cs="Times New Roman"/>
          <w:sz w:val="24"/>
          <w:szCs w:val="24"/>
        </w:rPr>
        <w:t>najważniejsze wydarzenia polityczne i społeczne w schyłkowym okresie istnienia ZSRR (lata osiemdziesiąte i początek lat dziewięćdziesiątych XX w.);</w:t>
      </w:r>
    </w:p>
    <w:p w:rsidR="00620D35" w:rsidRPr="00914DA2" w:rsidRDefault="00620D35" w:rsidP="00BC1655">
      <w:pPr>
        <w:pStyle w:val="Akapitzlist"/>
        <w:numPr>
          <w:ilvl w:val="0"/>
          <w:numId w:val="2"/>
        </w:numPr>
        <w:jc w:val="both"/>
        <w:rPr>
          <w:rFonts w:ascii="Times New Roman" w:hAnsi="Times New Roman" w:cs="Times New Roman"/>
          <w:sz w:val="24"/>
          <w:szCs w:val="24"/>
        </w:rPr>
      </w:pPr>
      <w:r w:rsidRPr="00914DA2">
        <w:rPr>
          <w:rFonts w:ascii="Times New Roman" w:hAnsi="Times New Roman" w:cs="Times New Roman"/>
          <w:sz w:val="24"/>
          <w:szCs w:val="24"/>
        </w:rPr>
        <w:t>stosunki radziecko – amerykańskie i rywalizacji zimnowojenna w schyłkowym okresie istnienia ZSRR;</w:t>
      </w:r>
    </w:p>
    <w:p w:rsidR="00620D35" w:rsidRPr="00914DA2" w:rsidRDefault="00DC7AC4" w:rsidP="00BC1655">
      <w:pPr>
        <w:pStyle w:val="Akapitzlist"/>
        <w:numPr>
          <w:ilvl w:val="0"/>
          <w:numId w:val="2"/>
        </w:numPr>
        <w:jc w:val="both"/>
        <w:rPr>
          <w:rFonts w:ascii="Times New Roman" w:hAnsi="Times New Roman" w:cs="Times New Roman"/>
          <w:sz w:val="24"/>
          <w:szCs w:val="24"/>
        </w:rPr>
      </w:pPr>
      <w:r w:rsidRPr="00914DA2">
        <w:rPr>
          <w:rFonts w:ascii="Times New Roman" w:hAnsi="Times New Roman" w:cs="Times New Roman"/>
          <w:sz w:val="24"/>
          <w:szCs w:val="24"/>
        </w:rPr>
        <w:t>przemiany w Związku Radzieckim zapoczątkowane przez Michaiła Gorbaczowa (</w:t>
      </w:r>
      <w:r w:rsidRPr="00914DA2">
        <w:rPr>
          <w:rFonts w:ascii="Times New Roman" w:hAnsi="Times New Roman" w:cs="Times New Roman"/>
          <w:i/>
          <w:sz w:val="24"/>
          <w:szCs w:val="24"/>
        </w:rPr>
        <w:t>pierestrojka</w:t>
      </w:r>
      <w:r w:rsidRPr="00914DA2">
        <w:rPr>
          <w:rFonts w:ascii="Times New Roman" w:hAnsi="Times New Roman" w:cs="Times New Roman"/>
          <w:sz w:val="24"/>
          <w:szCs w:val="24"/>
        </w:rPr>
        <w:t>);</w:t>
      </w:r>
    </w:p>
    <w:p w:rsidR="00DC7AC4" w:rsidRPr="00914DA2" w:rsidRDefault="00DC7AC4" w:rsidP="00BC1655">
      <w:pPr>
        <w:pStyle w:val="Akapitzlist"/>
        <w:numPr>
          <w:ilvl w:val="0"/>
          <w:numId w:val="2"/>
        </w:numPr>
        <w:jc w:val="both"/>
        <w:rPr>
          <w:rFonts w:ascii="Times New Roman" w:hAnsi="Times New Roman" w:cs="Times New Roman"/>
          <w:sz w:val="24"/>
          <w:szCs w:val="24"/>
        </w:rPr>
      </w:pPr>
      <w:r w:rsidRPr="00914DA2">
        <w:rPr>
          <w:rFonts w:ascii="Times New Roman" w:hAnsi="Times New Roman" w:cs="Times New Roman"/>
          <w:sz w:val="24"/>
          <w:szCs w:val="24"/>
        </w:rPr>
        <w:t>okoliczności powstania niepodległych państw – najważniejsze ruchy społeczne, konflikty, wydarzenia, przywódcy (Rosja, Litwa, Białoruś, Ukraina, Gruzja);</w:t>
      </w:r>
    </w:p>
    <w:p w:rsidR="00FB3AB2" w:rsidRPr="00914DA2" w:rsidRDefault="00FB3AB2" w:rsidP="00BC1655">
      <w:pPr>
        <w:jc w:val="both"/>
        <w:rPr>
          <w:rFonts w:ascii="Times New Roman" w:hAnsi="Times New Roman" w:cs="Times New Roman"/>
          <w:sz w:val="24"/>
          <w:szCs w:val="24"/>
        </w:rPr>
      </w:pPr>
      <w:r w:rsidRPr="00914DA2">
        <w:rPr>
          <w:rFonts w:ascii="Times New Roman" w:hAnsi="Times New Roman" w:cs="Times New Roman"/>
          <w:b/>
          <w:sz w:val="24"/>
          <w:szCs w:val="24"/>
        </w:rPr>
        <w:t>Organizator:</w:t>
      </w:r>
      <w:r w:rsidRPr="00914DA2">
        <w:rPr>
          <w:rFonts w:ascii="Times New Roman" w:hAnsi="Times New Roman" w:cs="Times New Roman"/>
          <w:sz w:val="24"/>
          <w:szCs w:val="24"/>
        </w:rPr>
        <w:t xml:space="preserve"> </w:t>
      </w:r>
      <w:r w:rsidR="00914DA2" w:rsidRPr="00914DA2">
        <w:rPr>
          <w:rFonts w:ascii="Times New Roman" w:hAnsi="Times New Roman" w:cs="Times New Roman"/>
          <w:sz w:val="24"/>
          <w:szCs w:val="24"/>
        </w:rPr>
        <w:t>Wydział</w:t>
      </w:r>
      <w:r w:rsidRPr="00914DA2">
        <w:rPr>
          <w:rFonts w:ascii="Times New Roman" w:hAnsi="Times New Roman" w:cs="Times New Roman"/>
          <w:sz w:val="24"/>
          <w:szCs w:val="24"/>
        </w:rPr>
        <w:t xml:space="preserve"> Historii UAM (zespół dydaktyczny kierunku wschodoznawstwo – Zakład Historii Europy Wschodniej i Zakład Studiów Wschodnich).</w:t>
      </w:r>
    </w:p>
    <w:p w:rsidR="00FB3AB2" w:rsidRPr="00914DA2" w:rsidRDefault="00FB3AB2" w:rsidP="00BC1655">
      <w:pPr>
        <w:jc w:val="both"/>
        <w:rPr>
          <w:rFonts w:ascii="Times New Roman" w:hAnsi="Times New Roman" w:cs="Times New Roman"/>
          <w:sz w:val="24"/>
          <w:szCs w:val="24"/>
        </w:rPr>
      </w:pPr>
      <w:r w:rsidRPr="00914DA2">
        <w:rPr>
          <w:rFonts w:ascii="Times New Roman" w:hAnsi="Times New Roman" w:cs="Times New Roman"/>
          <w:b/>
          <w:sz w:val="24"/>
          <w:szCs w:val="24"/>
        </w:rPr>
        <w:t>Uczestnicy:</w:t>
      </w:r>
      <w:r w:rsidRPr="00914DA2">
        <w:rPr>
          <w:rFonts w:ascii="Times New Roman" w:hAnsi="Times New Roman" w:cs="Times New Roman"/>
          <w:sz w:val="24"/>
          <w:szCs w:val="24"/>
        </w:rPr>
        <w:t xml:space="preserve"> uczniowie szkół średnich kończących się egzaminem maturalnym</w:t>
      </w:r>
    </w:p>
    <w:p w:rsidR="00FB3AB2" w:rsidRPr="00914DA2" w:rsidRDefault="00FB3AB2" w:rsidP="00BC1655">
      <w:pPr>
        <w:jc w:val="both"/>
        <w:rPr>
          <w:rFonts w:ascii="Times New Roman" w:hAnsi="Times New Roman" w:cs="Times New Roman"/>
          <w:sz w:val="24"/>
          <w:szCs w:val="24"/>
        </w:rPr>
      </w:pPr>
      <w:r w:rsidRPr="00914DA2">
        <w:rPr>
          <w:rFonts w:ascii="Times New Roman" w:hAnsi="Times New Roman" w:cs="Times New Roman"/>
          <w:b/>
          <w:sz w:val="24"/>
          <w:szCs w:val="24"/>
        </w:rPr>
        <w:t>Cel:</w:t>
      </w:r>
      <w:r w:rsidRPr="00914DA2">
        <w:rPr>
          <w:rFonts w:ascii="Times New Roman" w:hAnsi="Times New Roman" w:cs="Times New Roman"/>
          <w:sz w:val="24"/>
          <w:szCs w:val="24"/>
        </w:rPr>
        <w:t xml:space="preserve"> Głównym celem konkursu jest wzbudzanie i poszerzanie wśród młodzieży zainteresowań problematyką regionu postradzieckiego w zakresie historii, polityki, gospodarki i kultury, a także wielowymiarowych relacji z Polską. Konkurs służy także popularyzacji wschodoznawstwa jako kierunku studiów realizowanego na Wydziale Historii. </w:t>
      </w:r>
      <w:r w:rsidRPr="00914DA2">
        <w:rPr>
          <w:rFonts w:ascii="Times New Roman" w:hAnsi="Times New Roman" w:cs="Times New Roman"/>
          <w:sz w:val="24"/>
          <w:szCs w:val="24"/>
        </w:rPr>
        <w:lastRenderedPageBreak/>
        <w:t xml:space="preserve">Laureatom </w:t>
      </w:r>
      <w:proofErr w:type="spellStart"/>
      <w:r w:rsidRPr="00914DA2">
        <w:rPr>
          <w:rFonts w:ascii="Times New Roman" w:hAnsi="Times New Roman" w:cs="Times New Roman"/>
          <w:sz w:val="24"/>
          <w:szCs w:val="24"/>
        </w:rPr>
        <w:t>Wschodokonkursu</w:t>
      </w:r>
      <w:proofErr w:type="spellEnd"/>
      <w:r w:rsidRPr="00914DA2">
        <w:rPr>
          <w:rFonts w:ascii="Times New Roman" w:hAnsi="Times New Roman" w:cs="Times New Roman"/>
          <w:sz w:val="24"/>
          <w:szCs w:val="24"/>
        </w:rPr>
        <w:t xml:space="preserve"> przysługuje prawo podjęcia studiów I stopnia na ww. kierunku w trybie przewidzianym przez obowiązującą w danym roku akademickim Uchwałę Senatu Uniwersytetu im. Adama Mickiewicza w sprawie szczegółowych zasad przyjmowania na studia laureatów i finalistów olimpiad stopnia centralnego oraz laureatów konkursów międzynarodowych i ogólnopolskich. Do tej pory odbyło się dziewięć edycji </w:t>
      </w:r>
      <w:proofErr w:type="spellStart"/>
      <w:r w:rsidRPr="00914DA2">
        <w:rPr>
          <w:rFonts w:ascii="Times New Roman" w:hAnsi="Times New Roman" w:cs="Times New Roman"/>
          <w:sz w:val="24"/>
          <w:szCs w:val="24"/>
        </w:rPr>
        <w:t>Wschodokonkursu</w:t>
      </w:r>
      <w:proofErr w:type="spellEnd"/>
      <w:r w:rsidRPr="00914DA2">
        <w:rPr>
          <w:rFonts w:ascii="Times New Roman" w:hAnsi="Times New Roman" w:cs="Times New Roman"/>
          <w:sz w:val="24"/>
          <w:szCs w:val="24"/>
        </w:rPr>
        <w:t>.</w:t>
      </w:r>
    </w:p>
    <w:p w:rsidR="00FB3AB2" w:rsidRPr="00914DA2" w:rsidRDefault="00E857F3" w:rsidP="00BC1655">
      <w:pPr>
        <w:jc w:val="both"/>
        <w:rPr>
          <w:rFonts w:ascii="Times New Roman" w:hAnsi="Times New Roman" w:cs="Times New Roman"/>
          <w:sz w:val="24"/>
          <w:szCs w:val="24"/>
        </w:rPr>
      </w:pPr>
      <w:r w:rsidRPr="00914DA2">
        <w:rPr>
          <w:rFonts w:ascii="Times New Roman" w:hAnsi="Times New Roman" w:cs="Times New Roman"/>
          <w:sz w:val="24"/>
          <w:szCs w:val="24"/>
        </w:rPr>
        <w:t>Z uwagi na sytuację pandemiczną i możliwe ograniczenia sanitarne,</w:t>
      </w:r>
      <w:r w:rsidR="00E86EF5">
        <w:rPr>
          <w:rFonts w:ascii="Times New Roman" w:hAnsi="Times New Roman" w:cs="Times New Roman"/>
          <w:sz w:val="24"/>
          <w:szCs w:val="24"/>
        </w:rPr>
        <w:t xml:space="preserve"> </w:t>
      </w:r>
      <w:r w:rsidRPr="00914DA2">
        <w:rPr>
          <w:rFonts w:ascii="Times New Roman" w:hAnsi="Times New Roman" w:cs="Times New Roman"/>
          <w:sz w:val="24"/>
          <w:szCs w:val="24"/>
        </w:rPr>
        <w:t xml:space="preserve">do regulaminu zostały wprowadzone rozwiązania umożliwiające odbywanie konkursu w formie hybrydowej lub całkowicie zdalnej.  </w:t>
      </w:r>
      <w:r w:rsidR="00FB3AB2" w:rsidRPr="00914DA2">
        <w:rPr>
          <w:rFonts w:ascii="Times New Roman" w:hAnsi="Times New Roman" w:cs="Times New Roman"/>
          <w:sz w:val="24"/>
          <w:szCs w:val="24"/>
        </w:rPr>
        <w:t xml:space="preserve">Tak jak w ubiegłych latach, konkurs składa się z dwóch etapów. Pierwszy etap odbywa się w szkołach w formie testu pisemnego.  </w:t>
      </w:r>
      <w:r w:rsidRPr="00914DA2">
        <w:rPr>
          <w:rFonts w:ascii="Times New Roman" w:hAnsi="Times New Roman" w:cs="Times New Roman"/>
          <w:sz w:val="24"/>
          <w:szCs w:val="24"/>
        </w:rPr>
        <w:t xml:space="preserve">Drugi etap polega na przedstawieniu prezentacji przygotowanej przez uczestników – dotąd odbywała się ona w siedzibie UAM w Poznaniu, obecnie jednak przewidujemy możliwość prezentacji zdalnej. </w:t>
      </w:r>
    </w:p>
    <w:p w:rsidR="00BC1655" w:rsidRDefault="00E857F3" w:rsidP="00BC1655">
      <w:pPr>
        <w:jc w:val="both"/>
        <w:rPr>
          <w:rFonts w:ascii="Times New Roman" w:hAnsi="Times New Roman" w:cs="Times New Roman"/>
          <w:sz w:val="24"/>
          <w:szCs w:val="24"/>
        </w:rPr>
      </w:pPr>
      <w:r w:rsidRPr="00914DA2">
        <w:rPr>
          <w:rFonts w:ascii="Times New Roman" w:hAnsi="Times New Roman" w:cs="Times New Roman"/>
          <w:sz w:val="24"/>
          <w:szCs w:val="24"/>
        </w:rPr>
        <w:t xml:space="preserve">Zgłoszenia do udziału w </w:t>
      </w:r>
      <w:r w:rsidR="00FE6054" w:rsidRPr="00914DA2">
        <w:rPr>
          <w:rFonts w:ascii="Times New Roman" w:hAnsi="Times New Roman" w:cs="Times New Roman"/>
          <w:sz w:val="24"/>
          <w:szCs w:val="24"/>
        </w:rPr>
        <w:t>konkursie</w:t>
      </w:r>
      <w:r w:rsidR="00596B68" w:rsidRPr="00914DA2">
        <w:rPr>
          <w:rFonts w:ascii="Times New Roman" w:hAnsi="Times New Roman" w:cs="Times New Roman"/>
          <w:sz w:val="24"/>
          <w:szCs w:val="24"/>
        </w:rPr>
        <w:t xml:space="preserve"> </w:t>
      </w:r>
      <w:r w:rsidR="00FB3AB2" w:rsidRPr="00914DA2">
        <w:rPr>
          <w:rFonts w:ascii="Times New Roman" w:hAnsi="Times New Roman" w:cs="Times New Roman"/>
          <w:sz w:val="24"/>
          <w:szCs w:val="24"/>
        </w:rPr>
        <w:t xml:space="preserve">należy kierować pocztą elektroniczną na adres </w:t>
      </w:r>
      <w:hyperlink r:id="rId10" w:history="1">
        <w:r w:rsidR="00FB3AB2" w:rsidRPr="00914DA2">
          <w:rPr>
            <w:rStyle w:val="Hipercze"/>
            <w:rFonts w:ascii="Times New Roman" w:hAnsi="Times New Roman" w:cs="Times New Roman"/>
            <w:sz w:val="24"/>
            <w:szCs w:val="24"/>
          </w:rPr>
          <w:t>wschodokonkurs@amu.edu.pl</w:t>
        </w:r>
      </w:hyperlink>
      <w:r w:rsidR="00FB3AB2" w:rsidRPr="00914DA2">
        <w:rPr>
          <w:rFonts w:ascii="Times New Roman" w:hAnsi="Times New Roman" w:cs="Times New Roman"/>
          <w:sz w:val="24"/>
          <w:szCs w:val="24"/>
        </w:rPr>
        <w:t xml:space="preserve"> </w:t>
      </w:r>
      <w:r w:rsidR="00596B68" w:rsidRPr="00914DA2">
        <w:rPr>
          <w:rFonts w:ascii="Times New Roman" w:hAnsi="Times New Roman" w:cs="Times New Roman"/>
          <w:sz w:val="24"/>
          <w:szCs w:val="24"/>
        </w:rPr>
        <w:t xml:space="preserve">do </w:t>
      </w:r>
      <w:r w:rsidR="00FB3AB2" w:rsidRPr="00914DA2">
        <w:rPr>
          <w:rFonts w:ascii="Times New Roman" w:hAnsi="Times New Roman" w:cs="Times New Roman"/>
          <w:sz w:val="24"/>
          <w:szCs w:val="24"/>
        </w:rPr>
        <w:t xml:space="preserve">dnia </w:t>
      </w:r>
      <w:r w:rsidR="00596B68" w:rsidRPr="00914DA2">
        <w:rPr>
          <w:rFonts w:ascii="Times New Roman" w:hAnsi="Times New Roman" w:cs="Times New Roman"/>
          <w:sz w:val="24"/>
          <w:szCs w:val="24"/>
        </w:rPr>
        <w:t>3</w:t>
      </w:r>
      <w:r w:rsidR="00FB3AB2" w:rsidRPr="00914DA2">
        <w:rPr>
          <w:rFonts w:ascii="Times New Roman" w:hAnsi="Times New Roman" w:cs="Times New Roman"/>
          <w:sz w:val="24"/>
          <w:szCs w:val="24"/>
        </w:rPr>
        <w:t xml:space="preserve"> marca </w:t>
      </w:r>
      <w:r w:rsidR="00596B68" w:rsidRPr="00914DA2">
        <w:rPr>
          <w:rFonts w:ascii="Times New Roman" w:hAnsi="Times New Roman" w:cs="Times New Roman"/>
          <w:sz w:val="24"/>
          <w:szCs w:val="24"/>
        </w:rPr>
        <w:t>2022</w:t>
      </w:r>
      <w:r w:rsidR="00FB3AB2" w:rsidRPr="00914DA2">
        <w:rPr>
          <w:rFonts w:ascii="Times New Roman" w:hAnsi="Times New Roman" w:cs="Times New Roman"/>
          <w:sz w:val="24"/>
          <w:szCs w:val="24"/>
        </w:rPr>
        <w:t xml:space="preserve"> z podaniem</w:t>
      </w:r>
      <w:r w:rsidR="00BC1655">
        <w:rPr>
          <w:rFonts w:ascii="Times New Roman" w:hAnsi="Times New Roman" w:cs="Times New Roman"/>
          <w:sz w:val="24"/>
          <w:szCs w:val="24"/>
        </w:rPr>
        <w:t>:</w:t>
      </w:r>
    </w:p>
    <w:p w:rsidR="00BC1655" w:rsidRDefault="00BC1655" w:rsidP="00BC1655">
      <w:pPr>
        <w:jc w:val="both"/>
        <w:rPr>
          <w:rFonts w:ascii="Times New Roman" w:hAnsi="Times New Roman" w:cs="Times New Roman"/>
          <w:sz w:val="24"/>
          <w:szCs w:val="24"/>
        </w:rPr>
      </w:pPr>
      <w:r>
        <w:rPr>
          <w:rFonts w:ascii="Times New Roman" w:hAnsi="Times New Roman" w:cs="Times New Roman"/>
          <w:sz w:val="24"/>
          <w:szCs w:val="24"/>
        </w:rPr>
        <w:t>- nazwy i adresu szkoły</w:t>
      </w:r>
    </w:p>
    <w:p w:rsidR="00BC1655" w:rsidRDefault="00BC1655" w:rsidP="00BC1655">
      <w:pPr>
        <w:jc w:val="both"/>
        <w:rPr>
          <w:rFonts w:ascii="Times New Roman" w:hAnsi="Times New Roman" w:cs="Times New Roman"/>
          <w:sz w:val="24"/>
          <w:szCs w:val="24"/>
        </w:rPr>
      </w:pPr>
      <w:r>
        <w:rPr>
          <w:rFonts w:ascii="Times New Roman" w:hAnsi="Times New Roman" w:cs="Times New Roman"/>
          <w:sz w:val="24"/>
          <w:szCs w:val="24"/>
        </w:rPr>
        <w:t>-</w:t>
      </w:r>
      <w:r w:rsidR="00FB3AB2" w:rsidRPr="00914DA2">
        <w:rPr>
          <w:rFonts w:ascii="Times New Roman" w:hAnsi="Times New Roman" w:cs="Times New Roman"/>
          <w:sz w:val="24"/>
          <w:szCs w:val="24"/>
        </w:rPr>
        <w:t xml:space="preserve"> liczby zainteresowanych uczestników</w:t>
      </w:r>
    </w:p>
    <w:p w:rsidR="00BC1655" w:rsidRDefault="00BC1655" w:rsidP="00BC1655">
      <w:pPr>
        <w:jc w:val="both"/>
        <w:rPr>
          <w:rFonts w:ascii="Times New Roman" w:hAnsi="Times New Roman" w:cs="Times New Roman"/>
          <w:sz w:val="24"/>
          <w:szCs w:val="24"/>
        </w:rPr>
      </w:pPr>
      <w:r>
        <w:rPr>
          <w:rFonts w:ascii="Times New Roman" w:hAnsi="Times New Roman" w:cs="Times New Roman"/>
          <w:sz w:val="24"/>
          <w:szCs w:val="24"/>
        </w:rPr>
        <w:t>- kontaktowym telefonem i adresem poczty elektronicznej</w:t>
      </w:r>
    </w:p>
    <w:p w:rsidR="00BC1655" w:rsidRPr="00BC1655" w:rsidRDefault="00BC1655" w:rsidP="00BC1655">
      <w:pPr>
        <w:jc w:val="both"/>
        <w:rPr>
          <w:rFonts w:ascii="Times New Roman" w:hAnsi="Times New Roman" w:cs="Times New Roman"/>
          <w:sz w:val="24"/>
          <w:szCs w:val="24"/>
        </w:rPr>
      </w:pPr>
      <w:r w:rsidRPr="00BC1655">
        <w:rPr>
          <w:rFonts w:ascii="Times New Roman" w:hAnsi="Times New Roman" w:cs="Times New Roman"/>
          <w:sz w:val="24"/>
          <w:szCs w:val="24"/>
        </w:rPr>
        <w:t>Wysłanie zgłoszenia jest jednoznaczne z zapoznaniem się z regulaminem i klauzulą informacyjną dotyczącą danych osobowych (w załączeniu).</w:t>
      </w:r>
      <w:r w:rsidR="00E86EF5">
        <w:rPr>
          <w:rFonts w:ascii="Times New Roman" w:hAnsi="Times New Roman" w:cs="Times New Roman"/>
          <w:sz w:val="24"/>
          <w:szCs w:val="24"/>
        </w:rPr>
        <w:t xml:space="preserve"> Wszyscy uczestnicy, którzy wezmą udział w I </w:t>
      </w:r>
      <w:proofErr w:type="spellStart"/>
      <w:r w:rsidR="00E86EF5">
        <w:rPr>
          <w:rFonts w:ascii="Times New Roman" w:hAnsi="Times New Roman" w:cs="Times New Roman"/>
          <w:sz w:val="24"/>
          <w:szCs w:val="24"/>
        </w:rPr>
        <w:t>i</w:t>
      </w:r>
      <w:proofErr w:type="spellEnd"/>
      <w:r w:rsidR="00E86EF5">
        <w:rPr>
          <w:rFonts w:ascii="Times New Roman" w:hAnsi="Times New Roman" w:cs="Times New Roman"/>
          <w:sz w:val="24"/>
          <w:szCs w:val="24"/>
        </w:rPr>
        <w:t xml:space="preserve"> II etapie oraz nauczyciele przeprowadzający konkurs w szkole otrzymają do wypełnienia deklarację dot. danych osobowych zgodnie z RODO.</w:t>
      </w:r>
    </w:p>
    <w:p w:rsidR="00E857F3" w:rsidRPr="00914DA2" w:rsidRDefault="00E857F3" w:rsidP="00BC1655">
      <w:pPr>
        <w:spacing w:before="100" w:beforeAutospacing="1" w:after="100" w:afterAutospacing="1"/>
        <w:jc w:val="both"/>
        <w:rPr>
          <w:rFonts w:ascii="Times New Roman" w:hAnsi="Times New Roman" w:cs="Times New Roman"/>
          <w:sz w:val="24"/>
          <w:szCs w:val="24"/>
        </w:rPr>
      </w:pPr>
      <w:r w:rsidRPr="00914DA2">
        <w:rPr>
          <w:rFonts w:ascii="Times New Roman" w:hAnsi="Times New Roman" w:cs="Times New Roman"/>
          <w:b/>
          <w:bCs/>
          <w:color w:val="3366FF"/>
          <w:sz w:val="24"/>
          <w:szCs w:val="24"/>
        </w:rPr>
        <w:t>I etap</w:t>
      </w:r>
      <w:r w:rsidRPr="00914DA2">
        <w:rPr>
          <w:rFonts w:ascii="Times New Roman" w:hAnsi="Times New Roman" w:cs="Times New Roman"/>
          <w:color w:val="3366FF"/>
          <w:sz w:val="24"/>
          <w:szCs w:val="24"/>
        </w:rPr>
        <w:t xml:space="preserve"> </w:t>
      </w:r>
      <w:r w:rsidRPr="00914DA2">
        <w:rPr>
          <w:rFonts w:ascii="Times New Roman" w:hAnsi="Times New Roman" w:cs="Times New Roman"/>
          <w:b/>
          <w:bCs/>
          <w:color w:val="3366FF"/>
          <w:sz w:val="24"/>
          <w:szCs w:val="24"/>
        </w:rPr>
        <w:t>(22 marca 2022 r.)</w:t>
      </w:r>
      <w:r w:rsidRPr="00914DA2">
        <w:rPr>
          <w:rFonts w:ascii="Times New Roman" w:hAnsi="Times New Roman" w:cs="Times New Roman"/>
          <w:sz w:val="24"/>
          <w:szCs w:val="24"/>
        </w:rPr>
        <w:t xml:space="preserve"> przeprowadzony będzie w szkole i polegać będzie na samodzielnym rozwiązaniu testu przez uczestnika. W zakres testu wejdą otwarte i zamknięte pytania dotyczące rozpadu ZSRR i powstawania niepodległych państw </w:t>
      </w:r>
      <w:r w:rsidR="00BC1655">
        <w:rPr>
          <w:rFonts w:ascii="Times New Roman" w:hAnsi="Times New Roman" w:cs="Times New Roman"/>
          <w:sz w:val="24"/>
          <w:szCs w:val="24"/>
        </w:rPr>
        <w:t xml:space="preserve">w Europie Wschodniej </w:t>
      </w:r>
      <w:r w:rsidRPr="00914DA2">
        <w:rPr>
          <w:rFonts w:ascii="Times New Roman" w:hAnsi="Times New Roman" w:cs="Times New Roman"/>
          <w:sz w:val="24"/>
          <w:szCs w:val="24"/>
        </w:rPr>
        <w:t xml:space="preserve">na przełomie lat 80-tych i 90-tych XX wieku. </w:t>
      </w:r>
      <w:r w:rsidR="00914DA2">
        <w:rPr>
          <w:rFonts w:ascii="Times New Roman" w:hAnsi="Times New Roman" w:cs="Times New Roman"/>
          <w:sz w:val="24"/>
          <w:szCs w:val="24"/>
        </w:rPr>
        <w:t xml:space="preserve">Ogłoszenie wyników I etapu nastąpi do 6 kwietnia 2022. </w:t>
      </w:r>
    </w:p>
    <w:p w:rsidR="00E857F3" w:rsidRDefault="00E857F3" w:rsidP="00BC1655">
      <w:pPr>
        <w:spacing w:before="100" w:beforeAutospacing="1" w:after="100" w:afterAutospacing="1"/>
        <w:jc w:val="both"/>
        <w:rPr>
          <w:rFonts w:ascii="Times New Roman" w:hAnsi="Times New Roman" w:cs="Times New Roman"/>
          <w:b/>
          <w:bCs/>
          <w:sz w:val="24"/>
          <w:szCs w:val="24"/>
        </w:rPr>
      </w:pPr>
      <w:r w:rsidRPr="00887B87">
        <w:rPr>
          <w:rFonts w:ascii="Times New Roman" w:hAnsi="Times New Roman" w:cs="Times New Roman"/>
          <w:b/>
          <w:bCs/>
          <w:color w:val="3366FF"/>
          <w:sz w:val="24"/>
          <w:szCs w:val="24"/>
        </w:rPr>
        <w:t>II etap</w:t>
      </w:r>
      <w:r w:rsidRPr="00887B87">
        <w:rPr>
          <w:rFonts w:ascii="Times New Roman" w:hAnsi="Times New Roman" w:cs="Times New Roman"/>
          <w:color w:val="3366FF"/>
          <w:sz w:val="24"/>
          <w:szCs w:val="24"/>
        </w:rPr>
        <w:t xml:space="preserve"> (finałowy) </w:t>
      </w:r>
      <w:r w:rsidRPr="00887B87">
        <w:rPr>
          <w:rFonts w:ascii="Times New Roman" w:hAnsi="Times New Roman" w:cs="Times New Roman"/>
          <w:b/>
          <w:bCs/>
          <w:color w:val="3366FF"/>
          <w:sz w:val="24"/>
          <w:szCs w:val="24"/>
        </w:rPr>
        <w:t>(</w:t>
      </w:r>
      <w:r w:rsidR="00887B87" w:rsidRPr="00887B87">
        <w:rPr>
          <w:rFonts w:ascii="Times New Roman" w:hAnsi="Times New Roman" w:cs="Times New Roman"/>
          <w:b/>
          <w:bCs/>
          <w:color w:val="3366FF"/>
          <w:sz w:val="24"/>
          <w:szCs w:val="24"/>
        </w:rPr>
        <w:t>27 kwietnia</w:t>
      </w:r>
      <w:r w:rsidRPr="00887B87">
        <w:rPr>
          <w:rFonts w:ascii="Times New Roman" w:hAnsi="Times New Roman" w:cs="Times New Roman"/>
          <w:b/>
          <w:bCs/>
          <w:color w:val="3366FF"/>
          <w:sz w:val="24"/>
          <w:szCs w:val="24"/>
        </w:rPr>
        <w:t xml:space="preserve"> 2022 r.)</w:t>
      </w:r>
      <w:r w:rsidRPr="00887B87">
        <w:rPr>
          <w:rFonts w:ascii="Times New Roman" w:hAnsi="Times New Roman" w:cs="Times New Roman"/>
          <w:sz w:val="24"/>
          <w:szCs w:val="24"/>
        </w:rPr>
        <w:t xml:space="preserve"> odbędzie</w:t>
      </w:r>
      <w:r w:rsidRPr="00914DA2">
        <w:rPr>
          <w:rFonts w:ascii="Times New Roman" w:hAnsi="Times New Roman" w:cs="Times New Roman"/>
          <w:sz w:val="24"/>
          <w:szCs w:val="24"/>
        </w:rPr>
        <w:t xml:space="preserve"> się w siedzibie </w:t>
      </w:r>
      <w:r w:rsidR="00BC1655">
        <w:rPr>
          <w:rFonts w:ascii="Times New Roman" w:hAnsi="Times New Roman" w:cs="Times New Roman"/>
          <w:sz w:val="24"/>
          <w:szCs w:val="24"/>
        </w:rPr>
        <w:t>Wydziału Historii</w:t>
      </w:r>
      <w:r w:rsidRPr="00914DA2">
        <w:rPr>
          <w:rFonts w:ascii="Times New Roman" w:hAnsi="Times New Roman" w:cs="Times New Roman"/>
          <w:sz w:val="24"/>
          <w:szCs w:val="24"/>
        </w:rPr>
        <w:t xml:space="preserve"> UAM </w:t>
      </w:r>
      <w:r w:rsidR="00BC1655">
        <w:rPr>
          <w:rFonts w:ascii="Times New Roman" w:hAnsi="Times New Roman" w:cs="Times New Roman"/>
          <w:sz w:val="24"/>
          <w:szCs w:val="24"/>
        </w:rPr>
        <w:t xml:space="preserve">w Poznaniu </w:t>
      </w:r>
      <w:r w:rsidRPr="00914DA2">
        <w:rPr>
          <w:rFonts w:ascii="Times New Roman" w:hAnsi="Times New Roman" w:cs="Times New Roman"/>
          <w:sz w:val="24"/>
          <w:szCs w:val="24"/>
        </w:rPr>
        <w:t xml:space="preserve">i składać się będzie z piętnastominutowej prezentacji na wybrany przez finalistę i zaakceptowany przez Komisję Egzaminacyjną temat dotyczący zagadnienia, któremu poświęcona jest tegoroczna edycja Konkursu. Po przedstawieniu prezentacji każdy finalista będzie miał za zadanie ustosunkowanie się do pytań Komisji Egzaminacyjnej, a także do pytań z sali, jeśli zostaną one dopuszczone przez Komisję. Trójka uczestników, która uzyska najwięcej punktów w etapie II otrzyma tytuł laureatów, co </w:t>
      </w:r>
      <w:r w:rsidRPr="00914DA2">
        <w:rPr>
          <w:rFonts w:ascii="Times New Roman" w:hAnsi="Times New Roman" w:cs="Times New Roman"/>
          <w:b/>
          <w:bCs/>
          <w:sz w:val="24"/>
          <w:szCs w:val="24"/>
        </w:rPr>
        <w:t xml:space="preserve">jest równoznaczne z możliwością przyjęcia na studia I stopnia na kierunku wschodoznawstwo na Uniwersytecie im. Adama Mickiewicza w trybie specjalnym dla laureatów olimpiad i konkursów przedmiotowych. </w:t>
      </w:r>
    </w:p>
    <w:p w:rsidR="00BC1655" w:rsidRDefault="00BC1655" w:rsidP="00BC1655">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lastRenderedPageBreak/>
        <w:t>W przypadku, jeśli  sytuacja pandemiczna uniemożliwiłaby odbycie II etapu w formie stacjonarnej w siedzibie Wydziału Historii, etap ten zgodnie z obowiązującym od 10.12.2021 regulaminem, odbędzie się zdalnie.</w:t>
      </w:r>
    </w:p>
    <w:p w:rsidR="00914DA2" w:rsidRPr="00914DA2" w:rsidRDefault="00E857F3" w:rsidP="00BC1655">
      <w:pPr>
        <w:pStyle w:val="NormalnyWeb"/>
        <w:spacing w:line="276" w:lineRule="auto"/>
        <w:jc w:val="both"/>
      </w:pPr>
      <w:r w:rsidRPr="00914DA2">
        <w:t>Na wszystkich finalistów czekają atrakcyjne nagrody ufundowane przez Uniwersytet im. Adama Mickiewicza w Poznaniu oraz partnerów Konkursu</w:t>
      </w:r>
      <w:r w:rsidR="00914DA2" w:rsidRPr="00914DA2">
        <w:t>: Kolegium Europy Wschodniej</w:t>
      </w:r>
      <w:r w:rsidRPr="00914DA2">
        <w:t xml:space="preserve"> i Wydawnictwo Czarne. </w:t>
      </w:r>
    </w:p>
    <w:p w:rsidR="00914DA2" w:rsidRDefault="00914DA2" w:rsidP="00BC1655">
      <w:pPr>
        <w:pStyle w:val="NormalnyWeb"/>
        <w:spacing w:line="276" w:lineRule="auto"/>
        <w:jc w:val="both"/>
      </w:pPr>
      <w:r w:rsidRPr="00914DA2">
        <w:t xml:space="preserve">Informacje o konkursie znajdują się na stronie internetowej Wydziału Historii UAM w zakładce Dla Szkół: </w:t>
      </w:r>
      <w:hyperlink r:id="rId11" w:history="1">
        <w:r w:rsidR="00BC1655" w:rsidRPr="00BD67A5">
          <w:rPr>
            <w:rStyle w:val="Hipercze"/>
          </w:rPr>
          <w:t>https://historia.amu.edu.pl/dla-szkol</w:t>
        </w:r>
      </w:hyperlink>
    </w:p>
    <w:p w:rsidR="00BC1655" w:rsidRPr="00914DA2" w:rsidRDefault="00E86EF5" w:rsidP="00BC1655">
      <w:pPr>
        <w:pStyle w:val="NormalnyWeb"/>
        <w:spacing w:line="276" w:lineRule="auto"/>
        <w:jc w:val="both"/>
      </w:pPr>
      <w:r>
        <w:t xml:space="preserve">Szczegółowych informacji udziela w razie potrzeby sekretarz Komitetu Głównego mgr Michał Krzyżaniak </w:t>
      </w:r>
      <w:hyperlink r:id="rId12" w:history="1">
        <w:r w:rsidRPr="00BD67A5">
          <w:rPr>
            <w:rStyle w:val="Hipercze"/>
          </w:rPr>
          <w:t>wschodokonkurs@amu.edu.pl</w:t>
        </w:r>
      </w:hyperlink>
      <w:r>
        <w:t xml:space="preserve"> tel. +48 609 840 088.</w:t>
      </w:r>
    </w:p>
    <w:p w:rsidR="00914DA2" w:rsidRPr="00914DA2" w:rsidRDefault="00914DA2" w:rsidP="00BC1655">
      <w:pPr>
        <w:spacing w:before="100" w:beforeAutospacing="1" w:after="100" w:afterAutospacing="1"/>
        <w:jc w:val="center"/>
        <w:rPr>
          <w:rFonts w:ascii="Times New Roman" w:hAnsi="Times New Roman" w:cs="Times New Roman"/>
          <w:b/>
          <w:sz w:val="24"/>
          <w:szCs w:val="24"/>
        </w:rPr>
      </w:pPr>
      <w:r w:rsidRPr="00914DA2">
        <w:rPr>
          <w:rFonts w:ascii="Times New Roman" w:hAnsi="Times New Roman" w:cs="Times New Roman"/>
          <w:b/>
          <w:sz w:val="24"/>
          <w:szCs w:val="24"/>
        </w:rPr>
        <w:t>Komitet Główny Konkursu Wiedzy o Europie Wschodniej, Syberii, Kaukazie  i Azji Środkowej  „Zostań Wschodoznawcą” edycji 2021/2022</w:t>
      </w:r>
    </w:p>
    <w:p w:rsidR="00914DA2" w:rsidRPr="00914DA2" w:rsidRDefault="00914DA2" w:rsidP="00BC1655">
      <w:pPr>
        <w:spacing w:after="0"/>
        <w:ind w:left="4956"/>
        <w:rPr>
          <w:rFonts w:ascii="Times New Roman" w:hAnsi="Times New Roman" w:cs="Times New Roman"/>
          <w:sz w:val="24"/>
          <w:szCs w:val="24"/>
        </w:rPr>
      </w:pPr>
      <w:r w:rsidRPr="00914DA2">
        <w:rPr>
          <w:rFonts w:ascii="Times New Roman" w:hAnsi="Times New Roman" w:cs="Times New Roman"/>
          <w:sz w:val="24"/>
          <w:szCs w:val="24"/>
        </w:rPr>
        <w:t>prof. UAM dr hab. Marek Figura  (przewodniczący)</w:t>
      </w:r>
    </w:p>
    <w:p w:rsidR="00914DA2" w:rsidRPr="00914DA2" w:rsidRDefault="00914DA2" w:rsidP="00BC1655">
      <w:pPr>
        <w:spacing w:after="0"/>
        <w:ind w:left="4956"/>
        <w:rPr>
          <w:rFonts w:ascii="Times New Roman" w:hAnsi="Times New Roman" w:cs="Times New Roman"/>
          <w:sz w:val="24"/>
          <w:szCs w:val="24"/>
        </w:rPr>
      </w:pPr>
      <w:r w:rsidRPr="00914DA2">
        <w:rPr>
          <w:rFonts w:ascii="Times New Roman" w:hAnsi="Times New Roman" w:cs="Times New Roman"/>
          <w:sz w:val="24"/>
          <w:szCs w:val="24"/>
        </w:rPr>
        <w:t>prof. UAM dr hab. Grzegorz Skrukwa</w:t>
      </w:r>
    </w:p>
    <w:p w:rsidR="00914DA2" w:rsidRPr="00914DA2" w:rsidRDefault="00914DA2" w:rsidP="00BC1655">
      <w:pPr>
        <w:spacing w:after="0"/>
        <w:ind w:left="4956"/>
        <w:rPr>
          <w:rFonts w:ascii="Times New Roman" w:hAnsi="Times New Roman" w:cs="Times New Roman"/>
          <w:sz w:val="24"/>
          <w:szCs w:val="24"/>
        </w:rPr>
      </w:pPr>
      <w:r w:rsidRPr="00914DA2">
        <w:rPr>
          <w:rFonts w:ascii="Times New Roman" w:hAnsi="Times New Roman" w:cs="Times New Roman"/>
          <w:sz w:val="24"/>
          <w:szCs w:val="24"/>
        </w:rPr>
        <w:t xml:space="preserve">dr Bartłomiej </w:t>
      </w:r>
      <w:proofErr w:type="spellStart"/>
      <w:r w:rsidRPr="00914DA2">
        <w:rPr>
          <w:rFonts w:ascii="Times New Roman" w:hAnsi="Times New Roman" w:cs="Times New Roman"/>
          <w:sz w:val="24"/>
          <w:szCs w:val="24"/>
        </w:rPr>
        <w:t>Garczyk</w:t>
      </w:r>
      <w:proofErr w:type="spellEnd"/>
    </w:p>
    <w:p w:rsidR="00914DA2" w:rsidRPr="00914DA2" w:rsidRDefault="00914DA2" w:rsidP="00BC1655">
      <w:pPr>
        <w:spacing w:after="0"/>
        <w:ind w:left="4956"/>
        <w:rPr>
          <w:rFonts w:ascii="Times New Roman" w:hAnsi="Times New Roman" w:cs="Times New Roman"/>
          <w:sz w:val="24"/>
          <w:szCs w:val="24"/>
        </w:rPr>
      </w:pPr>
      <w:r w:rsidRPr="00914DA2">
        <w:rPr>
          <w:rFonts w:ascii="Times New Roman" w:hAnsi="Times New Roman" w:cs="Times New Roman"/>
          <w:sz w:val="24"/>
          <w:szCs w:val="24"/>
        </w:rPr>
        <w:t>dr Piotr Oleksy</w:t>
      </w:r>
    </w:p>
    <w:p w:rsidR="00914DA2" w:rsidRPr="00914DA2" w:rsidRDefault="00914DA2" w:rsidP="00BC1655">
      <w:pPr>
        <w:spacing w:after="0"/>
        <w:ind w:left="4956"/>
        <w:rPr>
          <w:rFonts w:ascii="Times New Roman" w:hAnsi="Times New Roman" w:cs="Times New Roman"/>
          <w:sz w:val="24"/>
          <w:szCs w:val="24"/>
        </w:rPr>
      </w:pPr>
      <w:r w:rsidRPr="00914DA2">
        <w:rPr>
          <w:rFonts w:ascii="Times New Roman" w:hAnsi="Times New Roman" w:cs="Times New Roman"/>
          <w:sz w:val="24"/>
          <w:szCs w:val="24"/>
        </w:rPr>
        <w:t>dr Marta Studenna-Skrukwa</w:t>
      </w:r>
    </w:p>
    <w:p w:rsidR="00914DA2" w:rsidRPr="00914DA2" w:rsidRDefault="00914DA2" w:rsidP="00BC1655">
      <w:pPr>
        <w:spacing w:after="0"/>
        <w:ind w:left="4956"/>
        <w:rPr>
          <w:rFonts w:ascii="Times New Roman" w:hAnsi="Times New Roman" w:cs="Times New Roman"/>
          <w:sz w:val="24"/>
          <w:szCs w:val="24"/>
        </w:rPr>
      </w:pPr>
      <w:r w:rsidRPr="00914DA2">
        <w:rPr>
          <w:rFonts w:ascii="Times New Roman" w:hAnsi="Times New Roman" w:cs="Times New Roman"/>
          <w:sz w:val="24"/>
          <w:szCs w:val="24"/>
        </w:rPr>
        <w:t xml:space="preserve">mgr </w:t>
      </w:r>
      <w:r w:rsidR="00BC1655">
        <w:rPr>
          <w:rFonts w:ascii="Times New Roman" w:hAnsi="Times New Roman" w:cs="Times New Roman"/>
          <w:sz w:val="24"/>
          <w:szCs w:val="24"/>
        </w:rPr>
        <w:t>Michał Krzyżaniak</w:t>
      </w:r>
      <w:r w:rsidRPr="00914DA2">
        <w:rPr>
          <w:rFonts w:ascii="Times New Roman" w:hAnsi="Times New Roman" w:cs="Times New Roman"/>
          <w:sz w:val="24"/>
          <w:szCs w:val="24"/>
        </w:rPr>
        <w:t xml:space="preserve"> (koordynator)</w:t>
      </w:r>
    </w:p>
    <w:p w:rsidR="00914DA2" w:rsidRPr="00914DA2" w:rsidRDefault="00914DA2" w:rsidP="00BC1655">
      <w:pPr>
        <w:pStyle w:val="NormalnyWeb"/>
        <w:spacing w:after="0" w:afterAutospacing="0" w:line="276" w:lineRule="auto"/>
        <w:jc w:val="both"/>
      </w:pPr>
    </w:p>
    <w:p w:rsidR="00E857F3" w:rsidRPr="00914DA2" w:rsidRDefault="00E857F3" w:rsidP="00BC1655">
      <w:pPr>
        <w:pStyle w:val="NormalnyWeb"/>
        <w:spacing w:line="276" w:lineRule="auto"/>
      </w:pPr>
      <w:r w:rsidRPr="00914DA2">
        <w:t> </w:t>
      </w:r>
    </w:p>
    <w:p w:rsidR="00E857F3" w:rsidRPr="00914DA2" w:rsidRDefault="00E857F3" w:rsidP="00BC1655">
      <w:pPr>
        <w:jc w:val="both"/>
        <w:rPr>
          <w:rFonts w:ascii="Times New Roman" w:hAnsi="Times New Roman" w:cs="Times New Roman"/>
          <w:b/>
          <w:sz w:val="24"/>
          <w:szCs w:val="24"/>
        </w:rPr>
      </w:pPr>
    </w:p>
    <w:sectPr w:rsidR="00E857F3" w:rsidRPr="00914DA2" w:rsidSect="009C3C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003C"/>
    <w:multiLevelType w:val="hybridMultilevel"/>
    <w:tmpl w:val="41EC67E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3D56CA6"/>
    <w:multiLevelType w:val="multilevel"/>
    <w:tmpl w:val="F2D45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273CC8"/>
    <w:multiLevelType w:val="hybridMultilevel"/>
    <w:tmpl w:val="FEFCB1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0C70EA1"/>
    <w:multiLevelType w:val="hybridMultilevel"/>
    <w:tmpl w:val="BD1423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3894ECF"/>
    <w:multiLevelType w:val="multilevel"/>
    <w:tmpl w:val="6344B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323"/>
    <w:rsid w:val="000F4E34"/>
    <w:rsid w:val="001E6FB9"/>
    <w:rsid w:val="002F0EA0"/>
    <w:rsid w:val="00324650"/>
    <w:rsid w:val="003B6CC5"/>
    <w:rsid w:val="00456DF2"/>
    <w:rsid w:val="00596B68"/>
    <w:rsid w:val="005F0AF7"/>
    <w:rsid w:val="00620D35"/>
    <w:rsid w:val="00705EBE"/>
    <w:rsid w:val="008245C8"/>
    <w:rsid w:val="00887B87"/>
    <w:rsid w:val="008B4404"/>
    <w:rsid w:val="00914DA2"/>
    <w:rsid w:val="009C3C68"/>
    <w:rsid w:val="00BB4D13"/>
    <w:rsid w:val="00BC1655"/>
    <w:rsid w:val="00C1658E"/>
    <w:rsid w:val="00C92AB8"/>
    <w:rsid w:val="00CE6570"/>
    <w:rsid w:val="00CF4323"/>
    <w:rsid w:val="00D71A40"/>
    <w:rsid w:val="00DC7AC4"/>
    <w:rsid w:val="00DE1C9B"/>
    <w:rsid w:val="00DE2AB9"/>
    <w:rsid w:val="00E62433"/>
    <w:rsid w:val="00E857F3"/>
    <w:rsid w:val="00E86EF5"/>
    <w:rsid w:val="00E87F28"/>
    <w:rsid w:val="00E90D2E"/>
    <w:rsid w:val="00F45BE7"/>
    <w:rsid w:val="00F92BF6"/>
    <w:rsid w:val="00FB3AB2"/>
    <w:rsid w:val="00FE60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05EBE"/>
    <w:pPr>
      <w:ind w:left="720"/>
      <w:contextualSpacing/>
    </w:pPr>
  </w:style>
  <w:style w:type="character" w:styleId="Odwoaniedokomentarza">
    <w:name w:val="annotation reference"/>
    <w:basedOn w:val="Domylnaczcionkaakapitu"/>
    <w:uiPriority w:val="99"/>
    <w:semiHidden/>
    <w:unhideWhenUsed/>
    <w:rsid w:val="00DC7AC4"/>
    <w:rPr>
      <w:sz w:val="16"/>
      <w:szCs w:val="16"/>
    </w:rPr>
  </w:style>
  <w:style w:type="paragraph" w:styleId="Tekstkomentarza">
    <w:name w:val="annotation text"/>
    <w:basedOn w:val="Normalny"/>
    <w:link w:val="TekstkomentarzaZnak"/>
    <w:uiPriority w:val="99"/>
    <w:semiHidden/>
    <w:unhideWhenUsed/>
    <w:rsid w:val="00DC7AC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C7AC4"/>
    <w:rPr>
      <w:sz w:val="20"/>
      <w:szCs w:val="20"/>
    </w:rPr>
  </w:style>
  <w:style w:type="paragraph" w:styleId="Tematkomentarza">
    <w:name w:val="annotation subject"/>
    <w:basedOn w:val="Tekstkomentarza"/>
    <w:next w:val="Tekstkomentarza"/>
    <w:link w:val="TematkomentarzaZnak"/>
    <w:uiPriority w:val="99"/>
    <w:semiHidden/>
    <w:unhideWhenUsed/>
    <w:rsid w:val="00DC7AC4"/>
    <w:rPr>
      <w:b/>
      <w:bCs/>
    </w:rPr>
  </w:style>
  <w:style w:type="character" w:customStyle="1" w:styleId="TematkomentarzaZnak">
    <w:name w:val="Temat komentarza Znak"/>
    <w:basedOn w:val="TekstkomentarzaZnak"/>
    <w:link w:val="Tematkomentarza"/>
    <w:uiPriority w:val="99"/>
    <w:semiHidden/>
    <w:rsid w:val="00DC7AC4"/>
    <w:rPr>
      <w:b/>
      <w:bCs/>
      <w:sz w:val="20"/>
      <w:szCs w:val="20"/>
    </w:rPr>
  </w:style>
  <w:style w:type="paragraph" w:styleId="Tekstdymka">
    <w:name w:val="Balloon Text"/>
    <w:basedOn w:val="Normalny"/>
    <w:link w:val="TekstdymkaZnak"/>
    <w:uiPriority w:val="99"/>
    <w:semiHidden/>
    <w:unhideWhenUsed/>
    <w:rsid w:val="00DC7A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C7AC4"/>
    <w:rPr>
      <w:rFonts w:ascii="Tahoma" w:hAnsi="Tahoma" w:cs="Tahoma"/>
      <w:sz w:val="16"/>
      <w:szCs w:val="16"/>
    </w:rPr>
  </w:style>
  <w:style w:type="table" w:styleId="Tabela-Siatka">
    <w:name w:val="Table Grid"/>
    <w:basedOn w:val="Standardowy"/>
    <w:uiPriority w:val="59"/>
    <w:unhideWhenUsed/>
    <w:rsid w:val="00FB3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FB3AB2"/>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FB3AB2"/>
    <w:rPr>
      <w:color w:val="0000FF" w:themeColor="hyperlink"/>
      <w:u w:val="single"/>
    </w:rPr>
  </w:style>
  <w:style w:type="character" w:customStyle="1" w:styleId="UnresolvedMention">
    <w:name w:val="Unresolved Mention"/>
    <w:basedOn w:val="Domylnaczcionkaakapitu"/>
    <w:uiPriority w:val="99"/>
    <w:semiHidden/>
    <w:unhideWhenUsed/>
    <w:rsid w:val="00FB3AB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05EBE"/>
    <w:pPr>
      <w:ind w:left="720"/>
      <w:contextualSpacing/>
    </w:pPr>
  </w:style>
  <w:style w:type="character" w:styleId="Odwoaniedokomentarza">
    <w:name w:val="annotation reference"/>
    <w:basedOn w:val="Domylnaczcionkaakapitu"/>
    <w:uiPriority w:val="99"/>
    <w:semiHidden/>
    <w:unhideWhenUsed/>
    <w:rsid w:val="00DC7AC4"/>
    <w:rPr>
      <w:sz w:val="16"/>
      <w:szCs w:val="16"/>
    </w:rPr>
  </w:style>
  <w:style w:type="paragraph" w:styleId="Tekstkomentarza">
    <w:name w:val="annotation text"/>
    <w:basedOn w:val="Normalny"/>
    <w:link w:val="TekstkomentarzaZnak"/>
    <w:uiPriority w:val="99"/>
    <w:semiHidden/>
    <w:unhideWhenUsed/>
    <w:rsid w:val="00DC7AC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C7AC4"/>
    <w:rPr>
      <w:sz w:val="20"/>
      <w:szCs w:val="20"/>
    </w:rPr>
  </w:style>
  <w:style w:type="paragraph" w:styleId="Tematkomentarza">
    <w:name w:val="annotation subject"/>
    <w:basedOn w:val="Tekstkomentarza"/>
    <w:next w:val="Tekstkomentarza"/>
    <w:link w:val="TematkomentarzaZnak"/>
    <w:uiPriority w:val="99"/>
    <w:semiHidden/>
    <w:unhideWhenUsed/>
    <w:rsid w:val="00DC7AC4"/>
    <w:rPr>
      <w:b/>
      <w:bCs/>
    </w:rPr>
  </w:style>
  <w:style w:type="character" w:customStyle="1" w:styleId="TematkomentarzaZnak">
    <w:name w:val="Temat komentarza Znak"/>
    <w:basedOn w:val="TekstkomentarzaZnak"/>
    <w:link w:val="Tematkomentarza"/>
    <w:uiPriority w:val="99"/>
    <w:semiHidden/>
    <w:rsid w:val="00DC7AC4"/>
    <w:rPr>
      <w:b/>
      <w:bCs/>
      <w:sz w:val="20"/>
      <w:szCs w:val="20"/>
    </w:rPr>
  </w:style>
  <w:style w:type="paragraph" w:styleId="Tekstdymka">
    <w:name w:val="Balloon Text"/>
    <w:basedOn w:val="Normalny"/>
    <w:link w:val="TekstdymkaZnak"/>
    <w:uiPriority w:val="99"/>
    <w:semiHidden/>
    <w:unhideWhenUsed/>
    <w:rsid w:val="00DC7A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C7AC4"/>
    <w:rPr>
      <w:rFonts w:ascii="Tahoma" w:hAnsi="Tahoma" w:cs="Tahoma"/>
      <w:sz w:val="16"/>
      <w:szCs w:val="16"/>
    </w:rPr>
  </w:style>
  <w:style w:type="table" w:styleId="Tabela-Siatka">
    <w:name w:val="Table Grid"/>
    <w:basedOn w:val="Standardowy"/>
    <w:uiPriority w:val="59"/>
    <w:unhideWhenUsed/>
    <w:rsid w:val="00FB3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FB3AB2"/>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FB3AB2"/>
    <w:rPr>
      <w:color w:val="0000FF" w:themeColor="hyperlink"/>
      <w:u w:val="single"/>
    </w:rPr>
  </w:style>
  <w:style w:type="character" w:customStyle="1" w:styleId="UnresolvedMention">
    <w:name w:val="Unresolved Mention"/>
    <w:basedOn w:val="Domylnaczcionkaakapitu"/>
    <w:uiPriority w:val="99"/>
    <w:semiHidden/>
    <w:unhideWhenUsed/>
    <w:rsid w:val="00FB3A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mailto:wschodokonkurs@amu.edu.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istoria.amu.edu.pl/dla-szkol" TargetMode="External"/><Relationship Id="rId5" Type="http://schemas.openxmlformats.org/officeDocument/2006/relationships/settings" Target="settings.xml"/><Relationship Id="rId10" Type="http://schemas.openxmlformats.org/officeDocument/2006/relationships/hyperlink" Target="mailto:wschodokonkurs@amu.edu.pl"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56B41-E0A8-404E-AEFB-7ACDE3760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835</Words>
  <Characters>5013</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Oleksy</dc:creator>
  <cp:lastModifiedBy>Piotr Oleksy</cp:lastModifiedBy>
  <cp:revision>2</cp:revision>
  <dcterms:created xsi:type="dcterms:W3CDTF">2022-02-02T06:37:00Z</dcterms:created>
  <dcterms:modified xsi:type="dcterms:W3CDTF">2022-02-02T06:37:00Z</dcterms:modified>
</cp:coreProperties>
</file>